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356" w:type="dxa"/>
        <w:tblInd w:w="108" w:type="dxa"/>
        <w:tblLayout w:type="fixed"/>
        <w:tblCellMar>
          <w:top w:w="0" w:type="dxa"/>
          <w:left w:w="108" w:type="dxa"/>
          <w:bottom w:w="0" w:type="dxa"/>
          <w:right w:w="108" w:type="dxa"/>
        </w:tblCellMar>
      </w:tblPr>
      <w:tblGrid>
        <w:gridCol w:w="7513"/>
        <w:gridCol w:w="1843"/>
      </w:tblGrid>
      <w:tr>
        <w:tblPrEx>
          <w:tblCellMar>
            <w:top w:w="0" w:type="dxa"/>
            <w:left w:w="108" w:type="dxa"/>
            <w:bottom w:w="0" w:type="dxa"/>
            <w:right w:w="108" w:type="dxa"/>
          </w:tblCellMar>
        </w:tblPrEx>
        <w:tc>
          <w:tcPr>
            <w:tcW w:w="7513" w:type="dxa"/>
          </w:tcPr>
          <w:p>
            <w:pPr>
              <w:pStyle w:val="2"/>
              <w:widowControl/>
              <w:spacing w:line="1100" w:lineRule="exact"/>
              <w:ind w:left="-141" w:leftChars="-67"/>
              <w:jc w:val="distribute"/>
              <w:rPr>
                <w:rFonts w:ascii="方正小标宋简体" w:hAnsi="方正大标宋简体" w:eastAsia="方正小标宋简体" w:cs="方正大标宋简体"/>
                <w:b w:val="0"/>
                <w:color w:val="FF0000"/>
                <w:spacing w:val="-20"/>
                <w:w w:val="60"/>
                <w:sz w:val="110"/>
                <w:szCs w:val="110"/>
              </w:rPr>
            </w:pPr>
            <w:r>
              <w:rPr>
                <w:rFonts w:hint="eastAsia" w:ascii="方正小标宋简体" w:hAnsi="方正大标宋简体" w:eastAsia="方正小标宋简体" w:cs="方正大标宋简体"/>
                <w:b w:val="0"/>
                <w:color w:val="FF0000"/>
                <w:spacing w:val="-20"/>
                <w:w w:val="60"/>
                <w:sz w:val="110"/>
                <w:szCs w:val="110"/>
              </w:rPr>
              <w:t>镇江市科学技术协会</w:t>
            </w:r>
          </w:p>
          <w:p>
            <w:pPr>
              <w:pStyle w:val="2"/>
              <w:widowControl/>
              <w:spacing w:line="1100" w:lineRule="exact"/>
              <w:ind w:left="-141" w:leftChars="-67"/>
              <w:jc w:val="distribute"/>
              <w:rPr>
                <w:rFonts w:ascii="方正小标宋简体" w:hAnsi="方正大标宋简体" w:eastAsia="方正小标宋简体" w:cs="方正大标宋简体"/>
                <w:b w:val="0"/>
                <w:color w:val="FF0000"/>
                <w:w w:val="60"/>
                <w:sz w:val="110"/>
                <w:szCs w:val="110"/>
              </w:rPr>
            </w:pPr>
            <w:r>
              <w:rPr>
                <w:rFonts w:hint="eastAsia" w:ascii="方正小标宋简体" w:hAnsi="方正大标宋简体" w:eastAsia="方正小标宋简体" w:cs="方正大标宋简体"/>
                <w:b w:val="0"/>
                <w:color w:val="FF0000"/>
                <w:w w:val="60"/>
                <w:sz w:val="110"/>
                <w:szCs w:val="110"/>
              </w:rPr>
              <w:t>镇江市教育局</w:t>
            </w:r>
          </w:p>
          <w:p>
            <w:pPr>
              <w:pStyle w:val="2"/>
              <w:widowControl/>
              <w:spacing w:line="1100" w:lineRule="exact"/>
              <w:ind w:left="-141" w:leftChars="-67"/>
              <w:jc w:val="distribute"/>
            </w:pPr>
            <w:r>
              <w:rPr>
                <w:rFonts w:hint="eastAsia" w:ascii="方正小标宋简体" w:hAnsi="方正大标宋简体" w:eastAsia="方正小标宋简体" w:cs="方正大标宋简体"/>
                <w:b w:val="0"/>
                <w:color w:val="FF0000"/>
                <w:spacing w:val="-20"/>
                <w:w w:val="60"/>
                <w:sz w:val="110"/>
                <w:szCs w:val="110"/>
              </w:rPr>
              <w:t>江苏大学数学科学学院</w:t>
            </w:r>
          </w:p>
        </w:tc>
        <w:tc>
          <w:tcPr>
            <w:tcW w:w="1843" w:type="dxa"/>
            <w:vAlign w:val="center"/>
          </w:tcPr>
          <w:p>
            <w:pPr>
              <w:pStyle w:val="2"/>
              <w:widowControl/>
              <w:ind w:left="-141" w:leftChars="-67"/>
              <w:rPr>
                <w:rFonts w:ascii="方正小标宋简体" w:hAnsi="方正大标宋简体" w:eastAsia="方正小标宋简体" w:cs="方正大标宋简体"/>
                <w:b w:val="0"/>
                <w:w w:val="60"/>
                <w:sz w:val="130"/>
                <w:szCs w:val="130"/>
              </w:rPr>
            </w:pPr>
            <w:r>
              <w:rPr>
                <w:rFonts w:hint="eastAsia" w:ascii="方正小标宋简体" w:hAnsi="方正大标宋简体" w:eastAsia="方正小标宋简体" w:cs="方正大标宋简体"/>
                <w:b w:val="0"/>
                <w:color w:val="FF0000"/>
                <w:w w:val="60"/>
                <w:sz w:val="130"/>
                <w:szCs w:val="130"/>
              </w:rPr>
              <w:t>文件</w:t>
            </w:r>
          </w:p>
        </w:tc>
      </w:tr>
    </w:tbl>
    <w:p>
      <w:pPr>
        <w:jc w:val="center"/>
        <w:rPr>
          <w:rFonts w:eastAsia="仿宋_GB2312" w:cs="Times New Roman"/>
          <w:color w:val="000000"/>
          <w:sz w:val="32"/>
          <w:szCs w:val="32"/>
        </w:rPr>
      </w:pPr>
      <w:r>
        <w:rPr>
          <w:rFonts w:eastAsia="仿宋_GB2312" w:cs="Times New Roman"/>
          <w:color w:val="000000"/>
          <w:sz w:val="32"/>
          <w:szCs w:val="32"/>
        </w:rPr>
        <w:t>镇科协〔2020〕</w:t>
      </w:r>
      <w:r>
        <w:rPr>
          <w:rFonts w:hint="eastAsia" w:eastAsia="仿宋_GB2312" w:cs="Times New Roman"/>
          <w:color w:val="000000"/>
          <w:sz w:val="32"/>
          <w:szCs w:val="32"/>
        </w:rPr>
        <w:t>57</w:t>
      </w:r>
      <w:r>
        <w:rPr>
          <w:rFonts w:eastAsia="仿宋_GB2312" w:cs="Times New Roman"/>
          <w:color w:val="000000"/>
          <w:sz w:val="32"/>
          <w:szCs w:val="32"/>
        </w:rPr>
        <w:t>号</w:t>
      </w:r>
    </w:p>
    <w:p>
      <w:pPr>
        <w:jc w:val="center"/>
        <w:rPr>
          <w:rFonts w:ascii="仿宋_GB2312" w:hAnsi="华文中宋" w:eastAsia="仿宋_GB2312"/>
          <w:color w:val="000000"/>
          <w:sz w:val="32"/>
          <w:szCs w:val="32"/>
        </w:rPr>
      </w:pPr>
      <w:r>
        <w:rPr>
          <w:rFonts w:ascii="仿宋_GB2312" w:hAnsi="华文中宋" w:eastAsia="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162560</wp:posOffset>
                </wp:positionH>
                <wp:positionV relativeFrom="paragraph">
                  <wp:posOffset>121285</wp:posOffset>
                </wp:positionV>
                <wp:extent cx="5600700" cy="0"/>
                <wp:effectExtent l="0" t="9525" r="0" b="9525"/>
                <wp:wrapNone/>
                <wp:docPr id="2" name="直线 6"/>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2.8pt;margin-top:9.55pt;height:0pt;width:441pt;z-index:251659264;mso-width-relative:page;mso-height-relative:page;" filled="f" stroked="t" coordsize="21600,21600" o:gfxdata="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iDNtbW&#10;AAAACAEAAA8AAAAAAAAAAQAgAAAAIgAAAGRycy9kb3ducmV2LnhtbFBLAQIUABQAAAAIAIdO4kCf&#10;bBL46QEAANwDAAAOAAAAAAAAAAEAIAAAACUBAABkcnMvZTJvRG9jLnhtbFBLBQYAAAAABgAGAFkB&#10;AACABQAAAAA=&#10;">
                <v:fill on="f" focussize="0,0"/>
                <v:stroke weight="1.5pt" color="#FF0000" joinstyle="round"/>
                <v:imagedata o:title=""/>
                <o:lock v:ext="edit" aspectratio="f"/>
              </v:line>
            </w:pict>
          </mc:Fallback>
        </mc:AlternateContent>
      </w:r>
    </w:p>
    <w:p>
      <w:pPr>
        <w:jc w:val="center"/>
        <w:rPr>
          <w:rFonts w:ascii="方正小标宋_GBK" w:hAnsi="黑体" w:eastAsia="方正小标宋_GBK"/>
          <w:sz w:val="44"/>
          <w:szCs w:val="44"/>
        </w:rPr>
      </w:pPr>
      <w:r>
        <w:rPr>
          <w:rFonts w:hint="eastAsia" w:ascii="方正小标宋_GBK" w:hAnsi="黑体" w:eastAsia="方正小标宋_GBK"/>
          <w:sz w:val="44"/>
          <w:szCs w:val="44"/>
        </w:rPr>
        <w:t>关于推荐新一届镇江市数学学会会员的通知</w:t>
      </w:r>
    </w:p>
    <w:p>
      <w:pPr>
        <w:jc w:val="center"/>
        <w:rPr>
          <w:rFonts w:ascii="黑体" w:hAnsi="黑体" w:eastAsia="黑体"/>
          <w:sz w:val="44"/>
          <w:szCs w:val="44"/>
        </w:rPr>
      </w:pPr>
    </w:p>
    <w:p>
      <w:pPr>
        <w:pStyle w:val="3"/>
        <w:spacing w:before="0" w:beforeAutospacing="0" w:after="0" w:afterAutospacing="0" w:line="502" w:lineRule="atLeast"/>
        <w:rPr>
          <w:rFonts w:ascii="仿宋_GB2312" w:hAnsi="仿宋" w:eastAsia="仿宋_GB2312"/>
          <w:b w:val="0"/>
          <w:sz w:val="32"/>
          <w:szCs w:val="32"/>
        </w:rPr>
      </w:pPr>
      <w:r>
        <w:rPr>
          <w:rFonts w:hint="eastAsia" w:ascii="仿宋_GB2312" w:hAnsi="仿宋" w:eastAsia="仿宋_GB2312"/>
          <w:b w:val="0"/>
          <w:sz w:val="32"/>
          <w:szCs w:val="32"/>
        </w:rPr>
        <w:t>各市、区科协、教育局，镇江新区科协、</w:t>
      </w:r>
      <w:r>
        <w:fldChar w:fldCharType="begin"/>
      </w:r>
      <w:r>
        <w:instrText xml:space="preserve"> HYPERLINK "http://www.zjna.gov.cn/zjna/shfzj/xxgk.shtml" \t "_blank" \o "镇江新区社会发展局" </w:instrText>
      </w:r>
      <w:r>
        <w:fldChar w:fldCharType="separate"/>
      </w:r>
      <w:r>
        <w:rPr>
          <w:rFonts w:hint="eastAsia" w:ascii="仿宋_GB2312" w:hAnsi="微软雅黑" w:eastAsia="仿宋_GB2312"/>
          <w:b w:val="0"/>
          <w:sz w:val="32"/>
          <w:szCs w:val="32"/>
        </w:rPr>
        <w:t>社会发展局</w:t>
      </w:r>
      <w:r>
        <w:rPr>
          <w:rFonts w:hint="eastAsia" w:ascii="仿宋_GB2312" w:hAnsi="微软雅黑" w:eastAsia="仿宋_GB2312"/>
          <w:b w:val="0"/>
          <w:sz w:val="32"/>
          <w:szCs w:val="32"/>
        </w:rPr>
        <w:fldChar w:fldCharType="end"/>
      </w:r>
      <w:r>
        <w:rPr>
          <w:rFonts w:hint="eastAsia" w:ascii="仿宋_GB2312" w:hAnsi="微软雅黑" w:eastAsia="仿宋_GB2312"/>
          <w:b w:val="0"/>
          <w:sz w:val="32"/>
          <w:szCs w:val="32"/>
        </w:rPr>
        <w:t>，镇江高新区科协、</w:t>
      </w:r>
      <w:r>
        <w:rPr>
          <w:rFonts w:hint="eastAsia" w:ascii="仿宋_GB2312" w:eastAsia="仿宋_GB2312"/>
          <w:b w:val="0"/>
          <w:sz w:val="32"/>
          <w:szCs w:val="32"/>
        </w:rPr>
        <w:t>科技发展局，各</w:t>
      </w:r>
      <w:r>
        <w:rPr>
          <w:rFonts w:hint="eastAsia" w:ascii="仿宋_GB2312" w:hAnsi="仿宋" w:eastAsia="仿宋_GB2312"/>
          <w:b w:val="0"/>
          <w:sz w:val="32"/>
          <w:szCs w:val="32"/>
        </w:rPr>
        <w:t>有关单位：</w:t>
      </w:r>
    </w:p>
    <w:p>
      <w:pPr>
        <w:ind w:firstLine="640" w:firstLineChars="200"/>
        <w:rPr>
          <w:rFonts w:ascii="仿宋_GB2312" w:hAnsi="仿宋" w:eastAsia="仿宋_GB2312"/>
          <w:sz w:val="32"/>
          <w:szCs w:val="32"/>
        </w:rPr>
      </w:pPr>
      <w:r>
        <w:rPr>
          <w:rFonts w:hint="eastAsia" w:ascii="仿宋_GB2312" w:hAnsi="仿宋" w:eastAsia="仿宋_GB2312"/>
          <w:sz w:val="32"/>
          <w:szCs w:val="32"/>
        </w:rPr>
        <w:t>本届数学学会已届满换届，为进一步提升数学学会的工作水平，适应新时期基础自然学科发展需要，增强数学学会在开展学术交流、数学教育、培养数学领域人才等工作中的作用，镇江市科协、教育局、江苏大学数学科学学院，经研究决定，公开推荐新一届学会会员。有关事项通知如下：</w:t>
      </w:r>
    </w:p>
    <w:p>
      <w:pPr>
        <w:ind w:firstLine="640" w:firstLineChars="200"/>
        <w:rPr>
          <w:rFonts w:ascii="黑体" w:hAnsi="黑体" w:eastAsia="黑体"/>
          <w:sz w:val="32"/>
          <w:szCs w:val="32"/>
        </w:rPr>
      </w:pPr>
      <w:r>
        <w:rPr>
          <w:rFonts w:hint="eastAsia" w:ascii="黑体" w:hAnsi="黑体" w:eastAsia="黑体"/>
          <w:sz w:val="32"/>
          <w:szCs w:val="32"/>
        </w:rPr>
        <w:t>一．指导思想</w:t>
      </w:r>
    </w:p>
    <w:p>
      <w:pPr>
        <w:ind w:firstLine="640" w:firstLineChars="200"/>
        <w:rPr>
          <w:rFonts w:ascii="仿宋_GB2312" w:hAnsi="仿宋" w:eastAsia="仿宋_GB2312"/>
          <w:sz w:val="32"/>
          <w:szCs w:val="32"/>
        </w:rPr>
      </w:pPr>
      <w:r>
        <w:rPr>
          <w:rFonts w:hint="eastAsia" w:ascii="仿宋_GB2312" w:hAnsi="仿宋" w:eastAsia="仿宋_GB2312"/>
          <w:sz w:val="32"/>
          <w:szCs w:val="32"/>
        </w:rPr>
        <w:t>认真贯彻党的基本路线和“百花齐放，百家争鸣”的方针，充分发扬民主，推动学术自由，提倡辩证唯物主义，坚持实事求是的科学态度和优良学风，倡导献身、创新、求实、协作的精神，团结广大数学领域行业人才，为促进数学基础学科的发展，繁荣我市的数学科学事业，为我市数学学科人才的成长与提高作出贡献。</w:t>
      </w:r>
    </w:p>
    <w:p>
      <w:pPr>
        <w:ind w:firstLine="640" w:firstLineChars="200"/>
        <w:rPr>
          <w:rFonts w:ascii="黑体" w:hAnsi="黑体" w:eastAsia="黑体"/>
          <w:sz w:val="32"/>
          <w:szCs w:val="32"/>
        </w:rPr>
      </w:pPr>
      <w:r>
        <w:rPr>
          <w:rFonts w:hint="eastAsia" w:ascii="黑体" w:hAnsi="黑体" w:eastAsia="黑体"/>
          <w:sz w:val="32"/>
          <w:szCs w:val="32"/>
        </w:rPr>
        <w:t>二．推荐方式</w:t>
      </w:r>
    </w:p>
    <w:p>
      <w:pPr>
        <w:ind w:firstLine="640" w:firstLineChars="200"/>
        <w:rPr>
          <w:rFonts w:ascii="仿宋_GB2312" w:hAnsi="仿宋" w:eastAsia="仿宋_GB2312"/>
          <w:sz w:val="32"/>
          <w:szCs w:val="32"/>
        </w:rPr>
      </w:pPr>
      <w:r>
        <w:rPr>
          <w:rFonts w:hint="eastAsia" w:ascii="仿宋_GB2312" w:hAnsi="仿宋" w:eastAsia="仿宋_GB2312"/>
          <w:sz w:val="32"/>
          <w:szCs w:val="32"/>
        </w:rPr>
        <w:t>以公开推荐方式推荐学会会员，凡与数学有关并愿意支持本会工作的有关科研、教育教学、企事业单位的人员，均可申请成为学会会员。</w:t>
      </w:r>
    </w:p>
    <w:p>
      <w:pPr>
        <w:ind w:firstLine="640" w:firstLineChars="200"/>
        <w:rPr>
          <w:rFonts w:ascii="黑体" w:hAnsi="黑体" w:eastAsia="黑体"/>
          <w:sz w:val="32"/>
          <w:szCs w:val="32"/>
        </w:rPr>
      </w:pPr>
      <w:r>
        <w:rPr>
          <w:rFonts w:hint="eastAsia" w:ascii="黑体" w:hAnsi="黑体" w:eastAsia="黑体"/>
          <w:sz w:val="32"/>
          <w:szCs w:val="32"/>
        </w:rPr>
        <w:t>三．会员条件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推荐加入本学会的会员，必须具备下列条件中的（一）、（二）、（三）、（七）且具备（四）、（五）、（六）中的一条：</w:t>
      </w:r>
    </w:p>
    <w:p>
      <w:pPr>
        <w:ind w:firstLine="640" w:firstLineChars="200"/>
        <w:rPr>
          <w:rFonts w:ascii="仿宋_GB2312" w:hAnsi="仿宋" w:eastAsia="仿宋_GB2312"/>
          <w:sz w:val="32"/>
          <w:szCs w:val="32"/>
        </w:rPr>
      </w:pPr>
      <w:r>
        <w:rPr>
          <w:rFonts w:hint="eastAsia" w:ascii="仿宋_GB2312" w:hAnsi="仿宋" w:eastAsia="仿宋_GB2312"/>
          <w:sz w:val="32"/>
          <w:szCs w:val="32"/>
        </w:rPr>
        <w:t>（一）拥护本学会的章程；</w:t>
      </w:r>
    </w:p>
    <w:p>
      <w:pPr>
        <w:ind w:firstLine="640" w:firstLineChars="200"/>
        <w:rPr>
          <w:rFonts w:ascii="仿宋_GB2312" w:hAnsi="仿宋" w:eastAsia="仿宋_GB2312"/>
          <w:sz w:val="32"/>
          <w:szCs w:val="32"/>
        </w:rPr>
      </w:pPr>
      <w:r>
        <w:rPr>
          <w:rFonts w:hint="eastAsia" w:ascii="仿宋_GB2312" w:hAnsi="仿宋" w:eastAsia="仿宋_GB2312"/>
          <w:sz w:val="32"/>
          <w:szCs w:val="32"/>
        </w:rPr>
        <w:t>（二）有加入本学会的意愿；</w:t>
      </w:r>
    </w:p>
    <w:p>
      <w:pPr>
        <w:ind w:firstLine="640" w:firstLineChars="200"/>
        <w:rPr>
          <w:rFonts w:ascii="仿宋_GB2312" w:hAnsi="仿宋" w:eastAsia="仿宋_GB2312"/>
          <w:sz w:val="32"/>
          <w:szCs w:val="32"/>
        </w:rPr>
      </w:pPr>
      <w:r>
        <w:rPr>
          <w:rFonts w:hint="eastAsia" w:ascii="仿宋_GB2312" w:hAnsi="仿宋" w:eastAsia="仿宋_GB2312"/>
          <w:sz w:val="32"/>
          <w:szCs w:val="32"/>
        </w:rPr>
        <w:t>（三）在本学会的业务领域内具有一定的影响；</w:t>
      </w:r>
    </w:p>
    <w:p>
      <w:pPr>
        <w:ind w:firstLine="640" w:firstLineChars="200"/>
        <w:rPr>
          <w:rFonts w:ascii="仿宋_GB2312" w:hAnsi="仿宋" w:eastAsia="仿宋_GB2312"/>
          <w:sz w:val="32"/>
          <w:szCs w:val="32"/>
        </w:rPr>
      </w:pPr>
      <w:r>
        <w:rPr>
          <w:rFonts w:hint="eastAsia" w:ascii="仿宋_GB2312" w:hAnsi="仿宋" w:eastAsia="仿宋_GB2312"/>
          <w:sz w:val="32"/>
          <w:szCs w:val="32"/>
        </w:rPr>
        <w:t>（四）具有讲师、助理研究员、工程师、中学一级教师以上职称的从事数学或与数学有关的科技人员或教学人员；</w:t>
      </w:r>
    </w:p>
    <w:p>
      <w:pPr>
        <w:ind w:firstLine="640" w:firstLineChars="200"/>
        <w:rPr>
          <w:rFonts w:ascii="仿宋_GB2312" w:hAnsi="仿宋" w:eastAsia="仿宋_GB2312"/>
          <w:sz w:val="32"/>
          <w:szCs w:val="32"/>
        </w:rPr>
      </w:pPr>
      <w:r>
        <w:rPr>
          <w:rFonts w:hint="eastAsia" w:ascii="仿宋_GB2312" w:hAnsi="仿宋" w:eastAsia="仿宋_GB2312"/>
          <w:sz w:val="32"/>
          <w:szCs w:val="32"/>
        </w:rPr>
        <w:t>（五）取得硕士以上学位的科技和教学人员；</w:t>
      </w:r>
    </w:p>
    <w:p>
      <w:pPr>
        <w:ind w:firstLine="640" w:firstLineChars="200"/>
        <w:rPr>
          <w:rFonts w:ascii="仿宋_GB2312" w:hAnsi="仿宋" w:eastAsia="仿宋_GB2312"/>
          <w:sz w:val="32"/>
          <w:szCs w:val="32"/>
        </w:rPr>
      </w:pPr>
      <w:r>
        <w:rPr>
          <w:rFonts w:hint="eastAsia" w:ascii="仿宋_GB2312" w:hAnsi="仿宋" w:eastAsia="仿宋_GB2312"/>
          <w:sz w:val="32"/>
          <w:szCs w:val="32"/>
        </w:rPr>
        <w:t>（六）高等院校本科毕业，在研究、教学、生产企事业单位或科研教育、组织管理部门，从事数学工作三年以上，并具有一定水平者，或虽非高等院校本科毕业，但已具有相当于以上规定人员的学术水平者；</w:t>
      </w:r>
    </w:p>
    <w:p>
      <w:pPr>
        <w:ind w:firstLine="640" w:firstLineChars="200"/>
        <w:rPr>
          <w:rFonts w:ascii="仿宋_GB2312" w:hAnsi="仿宋" w:eastAsia="仿宋_GB2312"/>
          <w:sz w:val="32"/>
          <w:szCs w:val="32"/>
        </w:rPr>
      </w:pPr>
      <w:r>
        <w:rPr>
          <w:rFonts w:hint="eastAsia" w:ascii="仿宋_GB2312" w:hAnsi="仿宋" w:eastAsia="仿宋_GB2312"/>
          <w:sz w:val="32"/>
          <w:szCs w:val="32"/>
        </w:rPr>
        <w:t>（七）热心数学研究或数学事业，并积极支持本会工作的有关部门的人士。</w:t>
      </w:r>
    </w:p>
    <w:p>
      <w:pPr>
        <w:ind w:firstLine="640" w:firstLineChars="200"/>
        <w:rPr>
          <w:rFonts w:ascii="黑体" w:hAnsi="黑体" w:eastAsia="黑体"/>
          <w:sz w:val="32"/>
          <w:szCs w:val="32"/>
        </w:rPr>
      </w:pPr>
      <w:r>
        <w:rPr>
          <w:rFonts w:hint="eastAsia" w:ascii="黑体" w:hAnsi="黑体" w:eastAsia="黑体"/>
          <w:sz w:val="32"/>
          <w:szCs w:val="32"/>
        </w:rPr>
        <w:t>四．其它事宜</w:t>
      </w:r>
    </w:p>
    <w:p>
      <w:pPr>
        <w:ind w:firstLine="640" w:firstLineChars="200"/>
        <w:rPr>
          <w:rFonts w:ascii="仿宋_GB2312" w:hAnsi="仿宋" w:eastAsia="仿宋_GB2312"/>
          <w:sz w:val="32"/>
          <w:szCs w:val="32"/>
        </w:rPr>
      </w:pPr>
      <w:r>
        <w:rPr>
          <w:rFonts w:hint="eastAsia" w:ascii="仿宋_GB2312" w:hAnsi="仿宋" w:eastAsia="仿宋_GB2312"/>
          <w:sz w:val="32"/>
          <w:szCs w:val="32"/>
        </w:rPr>
        <w:t>（一）推荐会员登记表（详见附件1）上报截止时间为20</w:t>
      </w:r>
      <w:r>
        <w:rPr>
          <w:rFonts w:ascii="仿宋_GB2312" w:hAnsi="仿宋" w:eastAsia="仿宋_GB2312"/>
          <w:sz w:val="32"/>
          <w:szCs w:val="32"/>
        </w:rPr>
        <w:t>21</w:t>
      </w:r>
      <w:r>
        <w:rPr>
          <w:rFonts w:hint="eastAsia" w:ascii="仿宋_GB2312" w:hAnsi="仿宋" w:eastAsia="仿宋_GB2312"/>
          <w:sz w:val="32"/>
          <w:szCs w:val="32"/>
        </w:rPr>
        <w:t>年</w:t>
      </w:r>
      <w:r>
        <w:rPr>
          <w:rFonts w:ascii="仿宋_GB2312" w:hAnsi="仿宋" w:eastAsia="仿宋_GB2312"/>
          <w:sz w:val="32"/>
          <w:szCs w:val="32"/>
        </w:rPr>
        <w:t>5</w:t>
      </w:r>
      <w:r>
        <w:rPr>
          <w:rFonts w:hint="eastAsia" w:ascii="仿宋_GB2312" w:hAnsi="仿宋" w:eastAsia="仿宋_GB2312"/>
          <w:sz w:val="32"/>
          <w:szCs w:val="32"/>
        </w:rPr>
        <w:t>月</w:t>
      </w:r>
      <w:r>
        <w:rPr>
          <w:rFonts w:ascii="仿宋_GB2312" w:hAnsi="仿宋" w:eastAsia="仿宋_GB2312"/>
          <w:sz w:val="32"/>
          <w:szCs w:val="32"/>
        </w:rPr>
        <w:t>10</w:t>
      </w:r>
      <w:r>
        <w:rPr>
          <w:rFonts w:hint="eastAsia" w:ascii="仿宋_GB2312" w:hAnsi="仿宋" w:eastAsia="仿宋_GB2312"/>
          <w:sz w:val="32"/>
          <w:szCs w:val="32"/>
        </w:rPr>
        <w:t>日。</w:t>
      </w:r>
    </w:p>
    <w:p>
      <w:pPr>
        <w:rPr>
          <w:rFonts w:ascii="仿宋_GB2312" w:hAnsi="仿宋" w:eastAsia="仿宋_GB2312"/>
          <w:sz w:val="32"/>
          <w:szCs w:val="32"/>
        </w:rPr>
      </w:pPr>
    </w:p>
    <w:p>
      <w:pPr>
        <w:rPr>
          <w:rFonts w:ascii="仿宋_GB2312" w:hAnsi="仿宋" w:eastAsia="仿宋_GB2312"/>
          <w:sz w:val="32"/>
          <w:szCs w:val="32"/>
        </w:rPr>
      </w:pPr>
    </w:p>
    <w:p>
      <w:pPr>
        <w:ind w:right="622" w:rightChars="296"/>
        <w:jc w:val="center"/>
        <w:rPr>
          <w:rFonts w:ascii="仿宋_GB2312" w:hAnsi="仿宋" w:eastAsia="仿宋_GB2312"/>
          <w:sz w:val="32"/>
          <w:szCs w:val="32"/>
        </w:rPr>
      </w:pPr>
      <w:r>
        <w:rPr>
          <w:rFonts w:hint="eastAsia" w:ascii="仿宋_GB2312" w:hAnsi="仿宋" w:eastAsia="仿宋_GB2312"/>
          <w:sz w:val="32"/>
          <w:szCs w:val="32"/>
        </w:rPr>
        <w:t>镇江市科学技术协会            镇江市教育局</w:t>
      </w:r>
    </w:p>
    <w:p>
      <w:pPr>
        <w:rPr>
          <w:rFonts w:ascii="仿宋_GB2312" w:hAnsi="仿宋" w:eastAsia="仿宋_GB2312"/>
          <w:sz w:val="32"/>
          <w:szCs w:val="32"/>
        </w:rPr>
      </w:pPr>
    </w:p>
    <w:p>
      <w:pPr>
        <w:rPr>
          <w:rFonts w:ascii="仿宋_GB2312" w:hAnsi="仿宋" w:eastAsia="仿宋_GB2312"/>
          <w:sz w:val="32"/>
          <w:szCs w:val="32"/>
        </w:rPr>
      </w:pPr>
    </w:p>
    <w:p>
      <w:pPr>
        <w:ind w:left="4253" w:leftChars="2025"/>
        <w:jc w:val="center"/>
        <w:rPr>
          <w:rFonts w:ascii="仿宋_GB2312" w:hAnsi="仿宋" w:eastAsia="仿宋_GB2312"/>
          <w:sz w:val="32"/>
          <w:szCs w:val="32"/>
        </w:rPr>
      </w:pPr>
      <w:r>
        <w:rPr>
          <w:rFonts w:hint="eastAsia" w:ascii="仿宋_GB2312" w:hAnsi="仿宋" w:eastAsia="仿宋_GB2312"/>
          <w:sz w:val="32"/>
          <w:szCs w:val="32"/>
        </w:rPr>
        <w:t>江苏大学数学科学学院</w:t>
      </w:r>
    </w:p>
    <w:p>
      <w:pPr>
        <w:ind w:left="4253" w:leftChars="2025"/>
        <w:jc w:val="center"/>
        <w:rPr>
          <w:rFonts w:ascii="仿宋_GB2312" w:hAnsi="仿宋" w:eastAsia="仿宋_GB2312"/>
          <w:sz w:val="32"/>
          <w:szCs w:val="32"/>
        </w:rPr>
      </w:pPr>
      <w:r>
        <w:rPr>
          <w:rFonts w:hint="eastAsia" w:ascii="仿宋_GB2312" w:hAnsi="仿宋" w:eastAsia="仿宋_GB2312"/>
          <w:sz w:val="32"/>
          <w:szCs w:val="32"/>
        </w:rPr>
        <w:t>2021年4月19日</w:t>
      </w:r>
    </w:p>
    <w:p>
      <w:pPr>
        <w:rPr>
          <w:rFonts w:ascii="仿宋_GB2312" w:hAnsi="仿宋" w:eastAsia="仿宋_GB2312"/>
          <w:sz w:val="32"/>
          <w:szCs w:val="32"/>
        </w:rPr>
      </w:pPr>
    </w:p>
    <w:p>
      <w:pPr>
        <w:widowControl/>
        <w:jc w:val="left"/>
        <w:rPr>
          <w:rFonts w:ascii="Calibri" w:hAnsi="Calibri" w:cs="Times New Roman"/>
        </w:rPr>
      </w:pPr>
      <w:bookmarkStart w:id="0" w:name="_GoBack"/>
      <w:bookmarkEnd w:id="0"/>
    </w:p>
    <w:sectPr>
      <w:footerReference r:id="rId3" w:type="default"/>
      <w:pgSz w:w="11906" w:h="16838"/>
      <w:pgMar w:top="1588" w:right="1247" w:bottom="102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rPr>
    </w:pPr>
    <w:r>
      <w:rPr>
        <w:rFonts w:ascii="宋体" w:hAnsi="宋体"/>
        <w:sz w:val="28"/>
        <w:szCs w:val="28"/>
      </w:rPr>
      <w:t>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EAFF1"/>
    <w:rsid w:val="395D15B1"/>
    <w:rsid w:val="5B65008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4"/>
    <w:basedOn w:val="1"/>
    <w:next w:val="1"/>
    <w:link w:val="11"/>
    <w:qFormat/>
    <w:uiPriority w:val="9"/>
    <w:pPr>
      <w:widowControl/>
      <w:spacing w:before="100" w:beforeAutospacing="1" w:after="100" w:afterAutospacing="1"/>
      <w:jc w:val="left"/>
      <w:outlineLvl w:val="3"/>
    </w:pPr>
    <w:rPr>
      <w:rFonts w:ascii="宋体" w:hAnsi="宋体" w:cs="宋体"/>
      <w:b/>
      <w:bCs/>
      <w:kern w:val="0"/>
      <w:sz w:val="24"/>
      <w:szCs w:val="24"/>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u w:val="single"/>
    </w:rPr>
  </w:style>
  <w:style w:type="character" w:customStyle="1" w:styleId="9">
    <w:name w:val="页眉 Char"/>
    <w:basedOn w:val="7"/>
    <w:link w:val="5"/>
    <w:uiPriority w:val="99"/>
    <w:rPr>
      <w:rFonts w:ascii="Times New Roman" w:hAnsi="Times New Roman" w:eastAsia="宋体"/>
      <w:sz w:val="18"/>
      <w:szCs w:val="18"/>
    </w:rPr>
  </w:style>
  <w:style w:type="character" w:customStyle="1" w:styleId="10">
    <w:name w:val="页脚 Char"/>
    <w:basedOn w:val="7"/>
    <w:link w:val="4"/>
    <w:uiPriority w:val="99"/>
    <w:rPr>
      <w:rFonts w:ascii="Times New Roman" w:hAnsi="Times New Roman" w:eastAsia="宋体"/>
      <w:sz w:val="18"/>
      <w:szCs w:val="18"/>
    </w:rPr>
  </w:style>
  <w:style w:type="character" w:customStyle="1" w:styleId="11">
    <w:name w:val="标题 4 Char"/>
    <w:basedOn w:val="7"/>
    <w:link w:val="3"/>
    <w:uiPriority w:val="9"/>
    <w:rPr>
      <w:rFonts w:ascii="宋体" w:hAnsi="宋体" w:eastAsia="宋体" w:cs="宋体"/>
      <w:b/>
      <w:bCs/>
      <w:kern w:val="0"/>
      <w:sz w:val="24"/>
      <w:szCs w:val="24"/>
    </w:rPr>
  </w:style>
  <w:style w:type="character" w:customStyle="1" w:styleId="12">
    <w:name w:val="标题 1 Char"/>
    <w:basedOn w:val="7"/>
    <w:link w:val="2"/>
    <w:uiPriority w:val="9"/>
    <w:rPr>
      <w:rFonts w:ascii="Times New Roman" w:hAnsi="Times New Roman" w:eastAsia="宋体"/>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205</Words>
  <Characters>1170</Characters>
  <Lines>9</Lines>
  <Paragraphs>2</Paragraphs>
  <TotalTime>1</TotalTime>
  <ScaleCrop>false</ScaleCrop>
  <LinksUpToDate>false</LinksUpToDate>
  <CharactersWithSpaces>1373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2021-04-16T23:17:00Z</dcterms:created>
  <dc:creator>Administrator</dc:creator>
  <cp:lastModifiedBy>一心向上1407812406</cp:lastModifiedBy>
  <dcterms:modified xsi:type="dcterms:W3CDTF">2021-08-05T06:49:51Z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714F5DBE49AA03BB2F7CD960CF096167</vt:lpwstr>
  </property>
  <property fmtid="{D5CDD505-2E9C-101B-9397-08002B2CF9AE}" pid="3" name="KSOProductBuildVer">
    <vt:lpwstr>2052-11.1.0.10700</vt:lpwstr>
  </property>
</Properties>
</file>